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  <mc:AlternateContent>
          <mc:Choice Requires="wps">
            <w:drawing>
              <wp:anchor behindDoc="0" distT="5715" distB="81280" distL="5715" distR="81280" simplePos="0" locked="0" layoutInCell="1" allowOverlap="1" relativeHeight="3" wp14:anchorId="315A307E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09955"/>
                <wp:effectExtent l="5715" t="5715" r="81280" b="81280"/>
                <wp:wrapNone/>
                <wp:docPr id="1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91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dir="2700000" dist="107932" rotWithShape="0">
                            <a:srgbClr val="80808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ANNEXE 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4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C A L’ACTE D’ENGAGEMENT </w:t>
                            </w:r>
                          </w:p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>Délais de livraison, d’installation et de mise en service et de formation / les conditions de garantie légale, d’extension de garantie et de maintenance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Heading1"/>
        <w:jc w:val="center"/>
        <w:rPr>
          <w:rFonts w:ascii="Marianne Light" w:hAnsi="Marianne Light" w:cs="Arial"/>
          <w:sz w:val="20"/>
        </w:rPr>
      </w:pPr>
      <w:r>
        <w:rPr>
          <w:rFonts w:cs="Arial" w:ascii="Marianne Light" w:hAnsi="Marianne Light"/>
          <w:sz w:val="20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cs="Arial" w:ascii="Marianne Light" w:hAnsi="Marianne Light"/>
          <w:b/>
        </w:rPr>
        <w:t xml:space="preserve">"Mémoire Annexe </w:t>
      </w:r>
      <w:r>
        <w:rPr>
          <w:rFonts w:cs="Arial" w:ascii="Marianne Light" w:hAnsi="Marianne Light"/>
          <w:b/>
        </w:rPr>
        <w:t>4</w:t>
      </w:r>
      <w:r>
        <w:rPr>
          <w:rFonts w:cs="Arial" w:ascii="Marianne Light" w:hAnsi="Marianne Light"/>
          <w:b/>
        </w:rPr>
        <w:t>C"</w:t>
      </w:r>
    </w:p>
    <w:p>
      <w:pPr>
        <w:pStyle w:val="Normal"/>
        <w:rPr>
          <w:rFonts w:ascii="Marianne Light" w:hAnsi="Marianne Light" w:cs="Arial"/>
          <w:bCs/>
          <w:color w:val="000000"/>
        </w:rPr>
      </w:pPr>
      <w:r>
        <w:rPr>
          <w:rFonts w:cs="Arial" w:ascii="Marianne Light" w:hAnsi="Marianne Light"/>
          <w:bCs/>
          <w:color w:val="000000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0000"/>
        </w:rPr>
        <w:t>Coordonnées de l'interlocuteur dédié à l’établissement :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Nom : </w:t>
      </w: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Adresse électronique : </w:t>
      </w: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>Tél : _ _ / _ _ /_ _ /_ _ /_ _   Fax :   _ _ / _ _ /_ _ /_ _ /_ _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1°) Délais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left" w:pos="3402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de livraison </w:t>
      </w:r>
      <w:r>
        <w:rPr>
          <w:rFonts w:cs="Arial" w:ascii="Marianne Light" w:hAnsi="Marianne Light"/>
        </w:rPr>
        <w:t xml:space="preserve">en jours ouvrés (du lundi au vendredi de 9h à 12h et de 14h à 17h) à compter de la notification : </w:t>
      </w:r>
      <w:r>
        <w:rPr>
          <w:rFonts w:cs="Arial" w:ascii="Marianne Light" w:hAnsi="Marianne Light"/>
          <w:b/>
          <w:bCs/>
        </w:rPr>
        <w:tab/>
        <w:t>jours ouvrés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d’’installation et de mise en service </w:t>
      </w:r>
      <w:r>
        <w:rPr>
          <w:rFonts w:cs="Arial" w:ascii="Marianne Light" w:hAnsi="Marianne Light"/>
        </w:rPr>
        <w:t>dans un déla</w:t>
      </w:r>
      <w:r>
        <w:rPr>
          <w:rFonts w:cs="Arial" w:ascii="Marianne Light" w:hAnsi="Marianne Light"/>
          <w:color w:themeColor="text1" w:val="000000"/>
        </w:rPr>
        <w:t xml:space="preserve">i </w:t>
      </w:r>
      <w:r>
        <w:rPr>
          <w:rFonts w:cs="Arial" w:ascii="Marianne Light" w:hAnsi="Marianne Light"/>
          <w:b/>
          <w:color w:themeColor="text1" w:val="000000"/>
          <w:u w:val="single"/>
        </w:rPr>
        <w:t>maximum de 5 jours</w:t>
      </w:r>
      <w:r>
        <w:rPr>
          <w:rFonts w:cs="Arial" w:ascii="Marianne Light" w:hAnsi="Marianne Light"/>
          <w:color w:themeColor="text1" w:val="000000"/>
        </w:rPr>
        <w:t xml:space="preserve"> ouvrés</w:t>
      </w:r>
      <w:r>
        <w:rPr>
          <w:rFonts w:cs="Arial" w:ascii="Marianne Light" w:hAnsi="Marianne Light"/>
          <w:color w:themeColor="text1" w:val="000000"/>
          <w:highlight w:val="white"/>
        </w:rPr>
        <w:t xml:space="preserve"> à compter de la livraison :</w:t>
      </w:r>
    </w:p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7371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color w:themeColor="text1" w:val="000000"/>
        </w:rPr>
        <w:t>Délai d’installation et de mise en service proposé :</w:t>
      </w:r>
      <w:r>
        <w:rPr>
          <w:rFonts w:cs="Arial" w:ascii="Marianne Light" w:hAnsi="Marianne Light"/>
          <w:b/>
          <w:bCs/>
          <w:color w:themeColor="text1" w:val="000000"/>
        </w:rPr>
        <w:tab/>
        <w:t>jours ouvrés</w:t>
      </w:r>
      <w:r>
        <w:rPr>
          <w:rFonts w:cs="Arial" w:ascii="Marianne Light" w:hAnsi="Marianne Light"/>
          <w:color w:themeColor="text1" w:val="000000"/>
        </w:rPr>
        <w:t xml:space="preserve"> à compter de la livraison </w:t>
      </w:r>
      <w:r>
        <w:rPr>
          <w:rFonts w:cs="Arial" w:ascii="Marianne Light" w:hAnsi="Marianne Light"/>
          <w:i/>
          <w:iCs/>
          <w:color w:themeColor="text1" w:val="000000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b/>
          <w:bCs/>
          <w:color w:val="000000"/>
        </w:rPr>
        <w:t xml:space="preserve">Délai de formation </w:t>
      </w:r>
      <w:r>
        <w:rPr>
          <w:rFonts w:cs="Arial" w:ascii="Marianne Light" w:hAnsi="Marianne Light"/>
          <w:color w:val="000000"/>
        </w:rPr>
        <w:t xml:space="preserve">dans un délai </w:t>
      </w:r>
      <w:r>
        <w:rPr>
          <w:rFonts w:cs="Arial" w:ascii="Marianne Light" w:hAnsi="Marianne Light"/>
          <w:b/>
          <w:color w:val="000000"/>
          <w:u w:val="single"/>
        </w:rPr>
        <w:t>maximum de 5 jours</w:t>
      </w:r>
      <w:r>
        <w:rPr>
          <w:rFonts w:cs="Arial" w:ascii="Marianne Light" w:hAnsi="Marianne Light"/>
          <w:color w:val="000000"/>
        </w:rPr>
        <w:t xml:space="preserve"> ouvrés à compter de l’installation et de la mise en service :</w:t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color w:val="000000"/>
        </w:rPr>
        <w:t>Délai de formation proposé :</w:t>
      </w:r>
      <w:r>
        <w:rPr>
          <w:rFonts w:cs="Arial" w:ascii="Marianne Light" w:hAnsi="Marianne Light"/>
          <w:b/>
          <w:bCs/>
          <w:color w:val="000000"/>
        </w:rPr>
        <w:tab/>
        <w:t>jour(s) ouvré(s)</w:t>
      </w:r>
      <w:r>
        <w:rPr>
          <w:rFonts w:cs="Arial" w:ascii="Marianne Light" w:hAnsi="Marianne Light"/>
          <w:color w:val="000000"/>
        </w:rPr>
        <w:t xml:space="preserve"> à compter de l’installation et de la mise en service </w:t>
      </w:r>
      <w:r>
        <w:rPr>
          <w:rFonts w:cs="Arial" w:ascii="Marianne Light" w:hAnsi="Marianne Light"/>
          <w:i/>
          <w:iCs/>
          <w:color w:val="000000"/>
          <w:highlight w:val="white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2°) Garantie légale</w:t>
      </w:r>
    </w:p>
    <w:p>
      <w:pPr>
        <w:pStyle w:val="Footer"/>
        <w:tabs>
          <w:tab w:val="clear" w:pos="4536"/>
          <w:tab w:val="clear" w:pos="9072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Durée de la garantie légale </w:t>
      </w:r>
      <w:r>
        <w:rPr>
          <w:rFonts w:cs="Arial" w:ascii="Marianne Light" w:hAnsi="Marianne Light"/>
          <w:bCs/>
        </w:rPr>
        <w:t>(à compter de la décision d’admission du matériel) </w:t>
      </w:r>
      <w:r>
        <w:rPr>
          <w:rFonts w:cs="Arial" w:ascii="Marianne Light" w:hAnsi="Marianne Light"/>
          <w:b/>
          <w:bCs/>
        </w:rPr>
        <w:t>:</w:t>
      </w:r>
    </w:p>
    <w:p>
      <w:pPr>
        <w:pStyle w:val="Normal"/>
        <w:tabs>
          <w:tab w:val="clear" w:pos="709"/>
          <w:tab w:val="right" w:pos="10206" w:leader="dot"/>
        </w:tabs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Contenu de la garantie légale : </w:t>
      </w:r>
      <w:r>
        <w:rPr>
          <w:rFonts w:cs="Arial" w:ascii="Marianne Light" w:hAnsi="Marianne Light"/>
          <w:bCs/>
        </w:rPr>
        <w:t>le candidat développera dans son offre le contenu de la garantie proposée pour chaque matériel :</w:t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2923540</wp:posOffset>
                </wp:positionH>
                <wp:positionV relativeFrom="paragraph">
                  <wp:posOffset>17145</wp:posOffset>
                </wp:positionV>
                <wp:extent cx="127000" cy="127000"/>
                <wp:effectExtent l="635" t="635" r="635" b="635"/>
                <wp:wrapNone/>
                <wp:docPr id="2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80" cy="12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" path="m0,0l-2147483645,0l-2147483645,-2147483646l0,-2147483646xe" fillcolor="white" stroked="t" o:allowincell="f" style="position:absolute;margin-left:230.2pt;margin-top:1.35pt;width:9.95pt;height:9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</w:rPr>
        <w:t xml:space="preserve">Garantie sur site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Garantie retour atelier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Prêt de matériel équivalent (le cas échéant)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>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Échange standard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préventives gratuites par année de garantie légale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Conditions de garantie légale</w:t>
      </w:r>
    </w:p>
    <w:p>
      <w:pPr>
        <w:pStyle w:val="Normal"/>
        <w:jc w:val="both"/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BodyText3"/>
        <w:jc w:val="both"/>
        <w:rPr>
          <w:rFonts w:ascii="Marianne Light" w:hAnsi="Marianne Light"/>
        </w:rPr>
      </w:pPr>
      <w:r>
        <w:rPr>
          <w:rFonts w:cs="Arial" w:ascii="Marianne Light" w:hAnsi="Marianne Light"/>
          <w:sz w:val="20"/>
        </w:rPr>
        <w:t>Listez ci-dessous les pièces détachées incluses au marché et celles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tbl>
      <w:tblPr>
        <w:tblW w:w="977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incluses au marché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non incluses au marché*</w:t>
            </w:r>
          </w:p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(Non couvertes par la garantie)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*Joindre un listing avec le prix des pièces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garantie légale en jours ouvrés (du lundi au vendredi de 9h à 12h et de 14h à 16h) :</w:t>
      </w:r>
    </w:p>
    <w:p>
      <w:pPr>
        <w:pStyle w:val="Normal"/>
        <w:tabs>
          <w:tab w:val="clear" w:pos="709"/>
          <w:tab w:val="lef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La garantie couvre le coût des pièces défectueuses, la main d’œuvre et les frais de déplacement sur site, ainsi que les frais de port.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 w:cs="Arial"/>
          <w:i/>
          <w:i/>
        </w:rPr>
      </w:pPr>
      <w:r>
        <w:rPr>
          <w:rFonts w:cs="Arial" w:ascii="Marianne Light" w:hAnsi="Marianne Light"/>
          <w:i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3°) Contenu des</w:t>
      </w:r>
      <w:r>
        <w:rPr>
          <w:rFonts w:cs="Arial" w:ascii="Marianne Light" w:hAnsi="Marianne Light"/>
          <w:i/>
          <w:highlight w:val="darkGray"/>
          <w:u w:val="single"/>
        </w:rPr>
        <w:t xml:space="preserve"> </w:t>
      </w:r>
      <w:r>
        <w:rPr>
          <w:rFonts w:cs="Arial" w:ascii="Marianne Light" w:hAnsi="Marianne Light"/>
          <w:b/>
          <w:bCs/>
          <w:i/>
          <w:highlight w:val="darkGray"/>
          <w:u w:val="single"/>
        </w:rPr>
        <w:t>prestations de maintenance</w:t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ab/>
        <w:t>Conditions d’intervention</w:t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tbl>
      <w:tblPr>
        <w:tblW w:w="92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24"/>
        <w:gridCol w:w="3904"/>
      </w:tblGrid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Heures ouvrables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Existence d’un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A détailler le cas échéant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Ouverture du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Préciser les heures et jours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communication pour demander une intervention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portable,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Mode d’intervention (sur site, téléphone...)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répercussion de la demande auprès des techniciens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>Précisez les conditions :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maintenance curative en jours ouvrés (du lundi au vendredi de 9h à 12h et de 14h à 16h) :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</w:rPr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 dans le cadre de la maintenance préventive par année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highlight w:val="white"/>
        </w:rPr>
        <w:t>Liste des contrôles périodiques de base à effectuer par l’utilisateur sur le matériel (maintenance préventive) </w:t>
      </w:r>
      <w:r>
        <w:rPr>
          <w:rFonts w:cs="Arial" w:ascii="Marianne Light" w:hAnsi="Marianne Light"/>
          <w:highlight w:val="white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  <w:r>
        <w:br w:type="page"/>
      </w:r>
    </w:p>
    <w:p>
      <w:pPr>
        <w:pStyle w:val="Normal"/>
        <w:tabs>
          <w:tab w:val="clear" w:pos="709"/>
          <w:tab w:val="right" w:pos="9498" w:leader="dot"/>
        </w:tabs>
        <w:spacing w:lineRule="auto" w:line="360" w:before="0" w:after="0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4°) Contenu de la formation</w:t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 xml:space="preserve">Descriptif technique de la formation : </w:t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A</w:t>
        <w:tab/>
        <w:t>le</w:t>
        <w:tab/>
        <w:tab/>
        <w:t>A Mamoudzou, le</w:t>
        <w:tab/>
      </w:r>
    </w:p>
    <w:p>
      <w:pPr>
        <w:pStyle w:val="Normal"/>
        <w:tabs>
          <w:tab w:val="clear" w:pos="709"/>
          <w:tab w:val="left" w:pos="567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Le Représentant désigné de la société</w:t>
        <w:tab/>
        <w:t>Le Pouvoir Adjudicateur,</w:t>
      </w:r>
    </w:p>
    <w:p>
      <w:pPr>
        <w:pStyle w:val="Normal"/>
        <w:tabs>
          <w:tab w:val="clear" w:pos="709"/>
          <w:tab w:val="left" w:pos="6237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(Prénom,nom + signature + cachet commercial)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/>
        </w:rPr>
      </w:pPr>
      <w:r>
        <w:rPr>
          <w:rFonts w:ascii="Marianne Light" w:hAnsi="Marianne Light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Tahoma">
    <w:charset w:val="01"/>
    <w:family w:val="auto"/>
    <w:pitch w:val="default"/>
  </w:font>
  <w:font w:name="Marianne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4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4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link w:val="Titre2Car"/>
    <w:qFormat/>
    <w:pPr>
      <w:keepNext w:val="true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Titre3Car"/>
    <w:qFormat/>
    <w:pPr>
      <w:keepNext w:val="true"/>
      <w:jc w:val="center"/>
      <w:outlineLvl w:val="2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Titre4Car"/>
    <w:qFormat/>
    <w:pPr>
      <w:keepNext w:val="true"/>
      <w:jc w:val="center"/>
      <w:outlineLvl w:val="3"/>
    </w:pPr>
    <w:rPr>
      <w:rFonts w:ascii="Arial" w:hAnsi="Arial"/>
      <w:b/>
      <w:color w:val="000000"/>
      <w:sz w:val="22"/>
    </w:rPr>
  </w:style>
  <w:style w:type="paragraph" w:styleId="Heading5">
    <w:name w:val="Heading 5"/>
    <w:basedOn w:val="Normal"/>
    <w:next w:val="Normal"/>
    <w:link w:val="Titre5Car"/>
    <w:qFormat/>
    <w:pPr>
      <w:keepNext w:val="true"/>
      <w:jc w:val="center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Titre6Car"/>
    <w:qFormat/>
    <w:pPr>
      <w:keepNext w:val="true"/>
      <w:tabs>
        <w:tab w:val="clear" w:pos="709"/>
        <w:tab w:val="left" w:pos="851" w:leader="none"/>
      </w:tabs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Titre7Car"/>
    <w:qFormat/>
    <w:pPr>
      <w:keepNext w:val="true"/>
      <w:jc w:val="center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link w:val="Titre8Car"/>
    <w:qFormat/>
    <w:pPr>
      <w:keepNext w:val="true"/>
      <w:jc w:val="center"/>
      <w:outlineLvl w:val="7"/>
    </w:pPr>
    <w:rPr>
      <w:rFonts w:ascii="Arial" w:hAnsi="Arial"/>
      <w:b/>
      <w:color w:val="000080"/>
    </w:rPr>
  </w:style>
  <w:style w:type="paragraph" w:styleId="Heading9">
    <w:name w:val="Heading 9"/>
    <w:basedOn w:val="Normal"/>
    <w:next w:val="Normal"/>
    <w:link w:val="Titre9Car"/>
    <w:qFormat/>
    <w:pPr>
      <w:keepNext w:val="true"/>
      <w:jc w:val="center"/>
      <w:outlineLvl w:val="8"/>
    </w:pPr>
    <w:rPr>
      <w:rFonts w:ascii="Arial" w:hAnsi="Arial"/>
      <w:b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NotedebasdepageCar" w:customStyle="1">
    <w:name w:val="Note de bas de page Car"/>
    <w:basedOn w:val="DefaultParagraphFont"/>
    <w:uiPriority w:val="99"/>
    <w:semiHidden/>
    <w:qFormat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basedOn w:val="DefaultParagraphFont"/>
    <w:uiPriority w:val="99"/>
    <w:semiHidden/>
    <w:unhideWhenUsed/>
    <w:qFormat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basedOn w:val="DefaultParagraphFont"/>
    <w:uiPriority w:val="99"/>
    <w:semiHidden/>
    <w:unhideWhenUsed/>
    <w:qFormat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6607D"/>
      <w:u w:val="single"/>
    </w:rPr>
  </w:style>
  <w:style w:type="character" w:styleId="PageNumber">
    <w:name w:val="Page Number"/>
    <w:basedOn w:val="DefaultParagraphFont"/>
    <w:rPr/>
  </w:style>
  <w:style w:type="character" w:styleId="PieddepageCar" w:customStyle="1">
    <w:name w:val="Pied de page Car"/>
    <w:qFormat/>
    <w:rPr/>
  </w:style>
  <w:style w:type="character" w:styleId="Corpsdetexte3Car" w:customStyle="1">
    <w:name w:val="Corps de texte 3 Car"/>
    <w:link w:val="BodyText3"/>
    <w:qFormat/>
    <w:rPr>
      <w:rFonts w:ascii="Arial" w:hAnsi="Arial"/>
      <w:color w:val="000000"/>
      <w:sz w:val="22"/>
    </w:rPr>
  </w:style>
  <w:style w:type="character" w:styleId="En-tteCar" w:customStyle="1">
    <w:name w:val="En-tête Car"/>
    <w:uiPriority w:val="99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themeColor="text2" w:val="0E284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pPr>
      <w:spacing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/>
    <w:rPr/>
  </w:style>
  <w:style w:type="paragraph" w:styleId="FootnoteText">
    <w:name w:val="Footnote Text"/>
    <w:basedOn w:val="Normal"/>
    <w:link w:val="NotedebasdepageCar"/>
    <w:uiPriority w:val="99"/>
    <w:semiHidden/>
    <w:unhideWhenUsed/>
    <w:pPr/>
    <w:rPr/>
  </w:style>
  <w:style w:type="paragraph" w:styleId="EndnoteText">
    <w:name w:val="Endnote Text"/>
    <w:basedOn w:val="Normal"/>
    <w:link w:val="NotedefinCar"/>
    <w:uiPriority w:val="99"/>
    <w:semiHidden/>
    <w:unhideWhenUsed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rFonts w:ascii="Arial" w:hAnsi="Arial"/>
      <w:color w:val="000000"/>
    </w:rPr>
  </w:style>
  <w:style w:type="paragraph" w:styleId="BodyText3">
    <w:name w:val="Body Text 3"/>
    <w:basedOn w:val="Normal"/>
    <w:link w:val="Corpsdetexte3Car"/>
    <w:qFormat/>
    <w:pPr/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AB2E1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2AB87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4BD55E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64CCF4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D971C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90D97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729B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729B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729B" w:themeColor="accent1" w:sz="4" w:space="0"/>
          <w:left w:val="single" w:color="19729B" w:themeColor="accent1" w:sz="4" w:space="0"/>
          <w:bottom w:val="single" w:color="19729B" w:themeColor="accent1" w:sz="4" w:space="0"/>
          <w:right w:val="single" w:color="19729B" w:themeColor="accent1" w:sz="4" w:space="0"/>
        </w:tcBorders>
        <w:shd w:val="clear" w:color="19729B" w:fill="19729B" w:themeFill="accent1" w:themeFillTint="ea"/>
      </w:tcPr>
    </w:tblStylePr>
    <w:tblStylePr w:type="lastRow">
      <w:rPr>
        <w:b/>
      </w:rPr>
      <w:tblPr/>
      <w:tcPr>
        <w:tcBorders>
          <w:top w:val="single" w:color="19729B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2E5F5" w:fill="C2E5F5" w:themeFill="accent1" w:themeFillTint="32"/>
      </w:tcPr>
    </w:tblStylePr>
    <w:tblStylePr w:type="band1Horz">
      <w:rPr>
        <w:sz w:val="22"/>
      </w:rPr>
      <w:tblPr/>
      <w:tcPr>
        <w:shd w:val="clear" w:color="C2E5F5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A85" w:themeColor="accent2" w:sz="4" w:space="0"/>
          <w:left w:val="single" w:color="F2AA85" w:themeColor="accent2" w:sz="4" w:space="0"/>
          <w:bottom w:val="single" w:color="F2AA85" w:themeColor="accent2" w:sz="4" w:space="0"/>
          <w:right w:val="single" w:color="F2AA85" w:themeColor="accent2" w:sz="4" w:space="0"/>
        </w:tcBorders>
        <w:shd w:val="clear" w:color="F2AA85" w:fill="F2AA85" w:themeFill="accent2" w:themeFillTint="97"/>
      </w:tcPr>
    </w:tblStylePr>
    <w:tblStylePr w:type="lastRow">
      <w:rPr>
        <w:b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6C24" w:themeColor="accent3" w:sz="4" w:space="0"/>
          <w:left w:val="single" w:color="196C24" w:themeColor="accent3" w:sz="4" w:space="0"/>
          <w:bottom w:val="single" w:color="196C24" w:themeColor="accent3" w:sz="4" w:space="0"/>
          <w:right w:val="single" w:color="196C24" w:themeColor="accent3" w:sz="4" w:space="0"/>
        </w:tcBorders>
        <w:shd w:val="clear" w:color="196C24" w:fill="196C24" w:themeFill="accent3" w:themeFillTint="fe"/>
      </w:tcPr>
    </w:tblStylePr>
    <w:tblStylePr w:type="lastRow">
      <w:rPr>
        <w:b/>
      </w:rPr>
      <w:tblPr/>
      <w:tcPr>
        <w:tcBorders>
          <w:top w:val="single" w:color="196C24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FCAF3" w:themeColor="accent4" w:sz="4" w:space="0"/>
          <w:left w:val="single" w:color="5FCAF3" w:themeColor="accent4" w:sz="4" w:space="0"/>
          <w:bottom w:val="single" w:color="5FCAF3" w:themeColor="accent4" w:sz="4" w:space="0"/>
          <w:right w:val="single" w:color="5FCAF3" w:themeColor="accent4" w:sz="4" w:space="0"/>
        </w:tcBorders>
        <w:shd w:val="clear" w:color="5FCAF3" w:fill="5FCAF3" w:themeFill="accent4" w:themeFillTint="9a"/>
      </w:tcPr>
    </w:tblStylePr>
    <w:tblStylePr w:type="lastRow">
      <w:rPr>
        <w:b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  <w:shd w:val="clear" w:color="A02B93" w:fill="A02B93" w:themeFill="accent5"/>
      </w:tcPr>
    </w:tblStylePr>
    <w:tblStylePr w:type="lastRow">
      <w:rPr>
        <w:b/>
      </w:rPr>
      <w:tblPr/>
      <w:tcPr>
        <w:tcBorders>
          <w:top w:val="single" w:color="A02B93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  <w:shd w:val="clear" w:color="4EA72E" w:fill="4EA72E" w:themeFill="accent6"/>
      </w:tcPr>
    </w:tblStylePr>
    <w:tblStylePr w:type="lastRow">
      <w:rPr>
        <w:b/>
      </w:rPr>
      <w:tblPr/>
      <w:tcPr>
        <w:tcBorders>
          <w:top w:val="single" w:color="4EA72E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56082" w:fill="156082" w:themeFill="accent1"/>
      </w:tcPr>
    </w:tblStylePr>
    <w:tblStylePr w:type="firstCol">
      <w:rPr>
        <w:b/>
        <w:sz w:val="22"/>
      </w:rPr>
      <w:tblPr/>
      <w:tcPr>
        <w:shd w:val="clear" w:color="156082" w:fill="156082" w:themeFill="accent1"/>
      </w:tcPr>
    </w:tblStylePr>
    <w:tblStylePr w:type="lastCol">
      <w:rPr>
        <w:b/>
        <w:sz w:val="22"/>
      </w:rPr>
      <w:tblPr/>
      <w:tcPr>
        <w:shd w:val="clear" w:color="156082" w:fill="156082" w:themeFill="accent1"/>
      </w:tcPr>
    </w:tblStylePr>
    <w:tblStylePr w:type="band1Vert">
      <w:tblPr/>
      <w:tcPr>
        <w:shd w:val="clear" w:color="70C2E8" w:fill="70C2E8" w:themeFill="accent1" w:themeFillTint="75"/>
      </w:tcPr>
    </w:tblStylePr>
    <w:tblStylePr w:type="band1Horz">
      <w:tblPr/>
      <w:tcPr>
        <w:shd w:val="clear" w:color="70C2E8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97132" w:fill="E97132" w:themeFill="accent2"/>
      </w:tcPr>
    </w:tblStylePr>
    <w:tblStylePr w:type="firstCol">
      <w:rPr>
        <w:b/>
        <w:sz w:val="22"/>
      </w:rPr>
      <w:tblPr/>
      <w:tcPr>
        <w:shd w:val="clear" w:color="E97132" w:fill="E97132" w:themeFill="accent2"/>
      </w:tcPr>
    </w:tblStylePr>
    <w:tblStylePr w:type="lastCol">
      <w:rPr>
        <w:b/>
        <w:sz w:val="22"/>
      </w:rPr>
      <w:tblPr/>
      <w:tcPr>
        <w:shd w:val="clear" w:color="E97132" w:fill="E97132" w:themeFill="accent2"/>
      </w:tcPr>
    </w:tblStylePr>
    <w:tblStylePr w:type="band1Vert">
      <w:tblPr/>
      <w:tcPr>
        <w:shd w:val="clear" w:color="F5BDA0" w:fill="F5BDA0" w:themeFill="accent2" w:themeFillTint="75"/>
      </w:tcPr>
    </w:tblStylePr>
    <w:tblStylePr w:type="band1Horz">
      <w:tblPr/>
      <w:tcPr>
        <w:shd w:val="clear" w:color="F5BDA0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96B24" w:fill="196B24" w:themeFill="accent3"/>
      </w:tcPr>
    </w:tblStylePr>
    <w:tblStylePr w:type="firstCol">
      <w:rPr>
        <w:b/>
        <w:sz w:val="22"/>
      </w:rPr>
      <w:tblPr/>
      <w:tcPr>
        <w:shd w:val="clear" w:color="196B24" w:fill="196B24" w:themeFill="accent3"/>
      </w:tcPr>
    </w:tblStylePr>
    <w:tblStylePr w:type="lastCol">
      <w:rPr>
        <w:b/>
        <w:sz w:val="22"/>
      </w:rPr>
      <w:tblPr/>
      <w:tcPr>
        <w:shd w:val="clear" w:color="196B24" w:fill="196B24" w:themeFill="accent3"/>
      </w:tcPr>
    </w:tblStylePr>
    <w:tblStylePr w:type="band1Vert">
      <w:tblPr/>
      <w:tcPr>
        <w:shd w:val="clear" w:color="72DE80" w:fill="72DE80" w:themeFill="accent3" w:themeFillTint="75"/>
      </w:tcPr>
    </w:tblStylePr>
    <w:tblStylePr w:type="band1Horz">
      <w:tblPr/>
      <w:tcPr>
        <w:shd w:val="clear" w:color="72DE80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F9ED5" w:fill="0F9ED5" w:themeFill="accent4"/>
      </w:tcPr>
    </w:tblStylePr>
    <w:tblStylePr w:type="firstCol">
      <w:rPr>
        <w:b/>
        <w:sz w:val="22"/>
      </w:rPr>
      <w:tblPr/>
      <w:tcPr>
        <w:shd w:val="clear" w:color="0F9ED5" w:fill="0F9ED5" w:themeFill="accent4"/>
      </w:tcPr>
    </w:tblStylePr>
    <w:tblStylePr w:type="lastCol">
      <w:rPr>
        <w:b/>
        <w:sz w:val="22"/>
      </w:rPr>
      <w:tblPr/>
      <w:tcPr>
        <w:shd w:val="clear" w:color="0F9ED5" w:fill="0F9ED5" w:themeFill="accent4"/>
      </w:tcPr>
    </w:tblStylePr>
    <w:tblStylePr w:type="band1Vert">
      <w:tblPr/>
      <w:tcPr>
        <w:shd w:val="clear" w:color="85D7F6" w:fill="85D7F6" w:themeFill="accent4" w:themeFillTint="75"/>
      </w:tcPr>
    </w:tblStylePr>
    <w:tblStylePr w:type="band1Horz">
      <w:tblPr/>
      <w:tcPr>
        <w:shd w:val="clear" w:color="85D7F6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02B93" w:fill="A02B93" w:themeFill="accent5"/>
      </w:tcPr>
    </w:tblStylePr>
    <w:tblStylePr w:type="firstCol">
      <w:rPr>
        <w:b/>
        <w:sz w:val="22"/>
      </w:rPr>
      <w:tblPr/>
      <w:tcPr>
        <w:shd w:val="clear" w:color="A02B93" w:fill="A02B93" w:themeFill="accent5"/>
      </w:tcPr>
    </w:tblStylePr>
    <w:tblStylePr w:type="lastCol">
      <w:rPr>
        <w:b/>
        <w:sz w:val="22"/>
      </w:rPr>
      <w:tblPr/>
      <w:tcPr>
        <w:shd w:val="clear" w:color="A02B93" w:fill="A02B93" w:themeFill="accent5"/>
      </w:tcPr>
    </w:tblStylePr>
    <w:tblStylePr w:type="band1Vert">
      <w:tblPr/>
      <w:tcPr>
        <w:shd w:val="clear" w:color="E18FD7" w:fill="E18FD7" w:themeFill="accent5" w:themeFillTint="75"/>
      </w:tcPr>
    </w:tblStylePr>
    <w:tblStylePr w:type="band1Horz">
      <w:tblPr/>
      <w:tcPr>
        <w:shd w:val="clear" w:color="E18FD7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EA72E" w:fill="4EA72E" w:themeFill="accent6"/>
      </w:tcPr>
    </w:tblStylePr>
    <w:tblStylePr w:type="firstCol">
      <w:rPr>
        <w:b/>
        <w:sz w:val="22"/>
      </w:rPr>
      <w:tblPr/>
      <w:tcPr>
        <w:shd w:val="clear" w:color="4EA72E" w:fill="4EA72E" w:themeFill="accent6"/>
      </w:tcPr>
    </w:tblStylePr>
    <w:tblStylePr w:type="lastCol">
      <w:rPr>
        <w:b/>
        <w:sz w:val="22"/>
      </w:rPr>
      <w:tblPr/>
      <w:tcPr>
        <w:shd w:val="clear" w:color="4EA72E" w:fill="4EA72E" w:themeFill="accent6"/>
      </w:tcPr>
    </w:tblStylePr>
    <w:tblStylePr w:type="band1Vert">
      <w:tblPr/>
      <w:tcPr>
        <w:shd w:val="clear" w:color="A8E194" w:fill="A8E194" w:themeFill="accent6" w:themeFillTint="75"/>
      </w:tcPr>
    </w:tblStylePr>
    <w:tblStylePr w:type="band1Horz">
      <w:tblPr/>
      <w:tcPr>
        <w:shd w:val="clear" w:color="A8E194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63BDE6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196C24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A02B93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EA72E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63BDE6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63BDE6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63BDE6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196C24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DA76C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94DA7B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tblPr/>
      <w:tcPr>
        <w:shd w:val="clear" w:color="B1DEF2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tblPr/>
      <w:tcPr>
        <w:shd w:val="clear" w:color="F9DBCB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tblPr/>
      <w:tcPr>
        <w:shd w:val="clear" w:color="B2EDB9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tblPr/>
      <w:tcPr>
        <w:shd w:val="clear" w:color="BCE9FA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tblPr/>
      <w:tcPr>
        <w:shd w:val="clear" w:color="EEC2E9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tblPr/>
      <w:tcPr>
        <w:shd w:val="clear" w:color="CFEFC4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2AA85" w:themeColor="accent2" w:sz="4" w:space="0"/>
          <w:right w:val="single" w:color="F2AA8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2AA85" w:themeColor="accent2" w:sz="4" w:space="0"/>
          <w:bottom w:val="single" w:color="F2AA85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48D45B" w:fill="48D45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8D45B" w:themeColor="accent3" w:sz="4" w:space="0"/>
          <w:right w:val="single" w:color="48D45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48D45B" w:themeColor="accent3" w:sz="4" w:space="0"/>
          <w:bottom w:val="single" w:color="48D45B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FCAF3" w:themeColor="accent4" w:sz="4" w:space="0"/>
          <w:right w:val="single" w:color="5FCAF3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5FCAF3" w:themeColor="accent4" w:sz="4" w:space="0"/>
          <w:bottom w:val="single" w:color="5FCAF3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D76CCB" w:fill="D76CC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76CCB" w:themeColor="accent5" w:sz="4" w:space="0"/>
          <w:right w:val="single" w:color="D76CC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D76CCB" w:themeColor="accent5" w:sz="4" w:space="0"/>
          <w:bottom w:val="single" w:color="D76CC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8ED873" w:fill="8ED873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ED873" w:themeColor="accent6" w:sz="4" w:space="0"/>
          <w:right w:val="single" w:color="8ED873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8ED873" w:themeColor="accent6" w:sz="4" w:space="0"/>
          <w:bottom w:val="single" w:color="8ED873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156082" w:themeColor="accent1" w:sz="32" w:space="0"/>
          <w:bottom w:val="single" w:color="FFFFFF" w:themeColor="light1" w:sz="12" w:space="0"/>
        </w:tcBorders>
        <w:shd w:val="clear" w:color="156082" w:fill="156082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156082" w:fill="156082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2AA85" w:themeColor="accent2" w:sz="32" w:space="0"/>
          <w:bottom w:val="single" w:color="FFFFFF" w:themeColor="light1" w:sz="12" w:space="0"/>
        </w:tcBorders>
        <w:shd w:val="clear" w:color="F2AA85" w:fill="F2AA8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2AA8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2AA8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2AA85" w:fill="F2AA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8D45B" w:themeColor="accent3" w:sz="32" w:space="0"/>
          <w:bottom w:val="single" w:color="FFFFFF" w:themeColor="light1" w:sz="12" w:space="0"/>
        </w:tcBorders>
        <w:shd w:val="clear" w:color="48D45B" w:fill="48D45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8D45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D45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D45B" w:fill="48D45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FCAF3" w:themeColor="accent4" w:sz="32" w:space="0"/>
          <w:bottom w:val="single" w:color="FFFFFF" w:themeColor="light1" w:sz="12" w:space="0"/>
        </w:tcBorders>
        <w:shd w:val="clear" w:color="5FCAF3" w:fill="5FCAF3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FCAF3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FCAF3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FCAF3" w:fill="5FCAF3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76CCB" w:themeColor="accent5" w:sz="32" w:space="0"/>
          <w:bottom w:val="single" w:color="FFFFFF" w:themeColor="light1" w:sz="12" w:space="0"/>
        </w:tcBorders>
        <w:shd w:val="clear" w:color="D76CCB" w:fill="D76CC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76CC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76CC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76CCB" w:fill="D76CC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ED873" w:themeColor="accent6" w:sz="32" w:space="0"/>
          <w:bottom w:val="single" w:color="FFFFFF" w:themeColor="light1" w:sz="12" w:space="0"/>
        </w:tcBorders>
        <w:shd w:val="clear" w:color="8ED873" w:fill="8ED873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ED873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D873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D873" w:fill="8ED873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156082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156082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48D45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48D45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D76CC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D76CC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8ED873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8ED873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8D45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48D45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48D45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76CC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D76CC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D76CC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ED873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8ED873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8ED873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tblPr>
      <w:tblStyleRowBandSize w:val="1"/>
      <w:tblStyleColBandSize w:val="1"/>
      <w:tblBorders>
        <w:top w:val="single" w:color="0C374B" w:themeColor="accent1" w:sz="4" w:space="0"/>
        <w:left w:val="single" w:color="0C374B" w:themeColor="accent1" w:sz="4" w:space="0"/>
        <w:bottom w:val="single" w:color="0C374B" w:themeColor="accent1" w:sz="4" w:space="0"/>
        <w:right w:val="single" w:color="0C374B" w:themeColor="accent1" w:sz="4" w:space="0"/>
        <w:insideH w:val="single" w:color="0C374B" w:themeColor="accent1" w:sz="4" w:space="0"/>
        <w:insideV w:val="single" w:color="0C374B" w:themeColor="accent1" w:sz="4" w:space="0"/>
      </w:tblBorders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tblPr>
      <w:tblStyleRowBandSize w:val="1"/>
      <w:tblStyleColBandSize w:val="1"/>
      <w:tblBorders>
        <w:top w:val="single" w:color="953D10" w:themeColor="accent2" w:sz="4" w:space="0"/>
        <w:left w:val="single" w:color="953D10" w:themeColor="accent2" w:sz="4" w:space="0"/>
        <w:bottom w:val="single" w:color="953D10" w:themeColor="accent2" w:sz="4" w:space="0"/>
        <w:right w:val="single" w:color="953D10" w:themeColor="accent2" w:sz="4" w:space="0"/>
        <w:insideH w:val="single" w:color="953D10" w:themeColor="accent2" w:sz="4" w:space="0"/>
        <w:insideV w:val="single" w:color="953D10" w:themeColor="accent2" w:sz="4" w:space="0"/>
      </w:tblBorders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tblPr>
      <w:tblStyleRowBandSize w:val="1"/>
      <w:tblStyleColBandSize w:val="1"/>
      <w:tblBorders>
        <w:top w:val="single" w:color="0E3E15" w:themeColor="accent3" w:sz="4" w:space="0"/>
        <w:left w:val="single" w:color="0E3E15" w:themeColor="accent3" w:sz="4" w:space="0"/>
        <w:bottom w:val="single" w:color="0E3E15" w:themeColor="accent3" w:sz="4" w:space="0"/>
        <w:right w:val="single" w:color="0E3E15" w:themeColor="accent3" w:sz="4" w:space="0"/>
        <w:insideH w:val="single" w:color="0E3E15" w:themeColor="accent3" w:sz="4" w:space="0"/>
        <w:insideV w:val="single" w:color="0E3E15" w:themeColor="accent3" w:sz="4" w:space="0"/>
      </w:tblBorders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tblPr>
      <w:tblStyleRowBandSize w:val="1"/>
      <w:tblStyleColBandSize w:val="1"/>
      <w:tblBorders>
        <w:top w:val="single" w:color="085C7C" w:themeColor="accent4" w:sz="4" w:space="0"/>
        <w:left w:val="single" w:color="085C7C" w:themeColor="accent4" w:sz="4" w:space="0"/>
        <w:bottom w:val="single" w:color="085C7C" w:themeColor="accent4" w:sz="4" w:space="0"/>
        <w:right w:val="single" w:color="085C7C" w:themeColor="accent4" w:sz="4" w:space="0"/>
        <w:insideH w:val="single" w:color="085C7C" w:themeColor="accent4" w:sz="4" w:space="0"/>
        <w:insideV w:val="single" w:color="085C7C" w:themeColor="accent4" w:sz="4" w:space="0"/>
      </w:tblBorders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tblPr>
      <w:tblStyleRowBandSize w:val="1"/>
      <w:tblStyleColBandSize w:val="1"/>
      <w:tblBorders>
        <w:top w:val="single" w:color="5D1955" w:themeColor="accent5" w:sz="4" w:space="0"/>
        <w:left w:val="single" w:color="5D1955" w:themeColor="accent5" w:sz="4" w:space="0"/>
        <w:bottom w:val="single" w:color="5D1955" w:themeColor="accent5" w:sz="4" w:space="0"/>
        <w:right w:val="single" w:color="5D1955" w:themeColor="accent5" w:sz="4" w:space="0"/>
        <w:insideH w:val="single" w:color="5D1955" w:themeColor="accent5" w:sz="4" w:space="0"/>
        <w:insideV w:val="single" w:color="5D1955" w:themeColor="accent5" w:sz="4" w:space="0"/>
      </w:tblBorders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tblPr>
      <w:tblStyleRowBandSize w:val="1"/>
      <w:tblStyleColBandSize w:val="1"/>
      <w:tblBorders>
        <w:top w:val="single" w:color="2D611B" w:themeColor="accent6" w:sz="4" w:space="0"/>
        <w:left w:val="single" w:color="2D611B" w:themeColor="accent6" w:sz="4" w:space="0"/>
        <w:bottom w:val="single" w:color="2D611B" w:themeColor="accent6" w:sz="4" w:space="0"/>
        <w:right w:val="single" w:color="2D611B" w:themeColor="accent6" w:sz="4" w:space="0"/>
        <w:insideH w:val="single" w:color="2D611B" w:themeColor="accent6" w:sz="4" w:space="0"/>
        <w:insideV w:val="single" w:color="2D611B" w:themeColor="accent6" w:sz="4" w:space="0"/>
      </w:tblBorders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156082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156082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156082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2AA8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2AA8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48D45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48D45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8D45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5FCAF3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FCAF3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D76CC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D76CC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76CC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8ED873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8ED873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ED873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Grilledutableau">
    <w:name w:val="Table Grid"/>
    <w:basedOn w:val="TableauNormal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588</Words>
  <Characters>2781</Characters>
  <CharactersWithSpaces>3380</CharactersWithSpaces>
  <Paragraphs>114</Paragraphs>
  <Company>lille2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2025-10-13T12:00:56Z</dcterms:created>
  <dc:creator/>
  <dc:description/>
  <dc:language>fr-FR</dc:language>
  <cp:lastModifiedBy/>
  <cp:revision>1</cp:revision>
  <dc:subject/>
  <dc:title>ANNEXE 1 : OFFRE DE BASE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